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57C42" w14:textId="138E32EF" w:rsidR="006173E0" w:rsidRDefault="006173E0"/>
    <w:p w14:paraId="056D7387" w14:textId="6574380E" w:rsidR="006173E0" w:rsidRDefault="006173E0" w:rsidP="006173E0">
      <w:pPr>
        <w:jc w:val="center"/>
      </w:pPr>
      <w:r>
        <w:rPr>
          <w:noProof/>
        </w:rPr>
        <w:drawing>
          <wp:inline distT="0" distB="0" distL="0" distR="0" wp14:anchorId="36975B43" wp14:editId="45FE266F">
            <wp:extent cx="3476625" cy="838200"/>
            <wp:effectExtent l="0" t="0" r="9525" b="0"/>
            <wp:docPr id="1622808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808388" name="Picture 1622808388"/>
                    <pic:cNvPicPr/>
                  </pic:nvPicPr>
                  <pic:blipFill>
                    <a:blip r:embed="rId4">
                      <a:extLst>
                        <a:ext uri="{28A0092B-C50C-407E-A947-70E740481C1C}">
                          <a14:useLocalDpi xmlns:a14="http://schemas.microsoft.com/office/drawing/2010/main" val="0"/>
                        </a:ext>
                      </a:extLst>
                    </a:blip>
                    <a:stretch>
                      <a:fillRect/>
                    </a:stretch>
                  </pic:blipFill>
                  <pic:spPr>
                    <a:xfrm>
                      <a:off x="0" y="0"/>
                      <a:ext cx="3476625" cy="838200"/>
                    </a:xfrm>
                    <a:prstGeom prst="rect">
                      <a:avLst/>
                    </a:prstGeom>
                  </pic:spPr>
                </pic:pic>
              </a:graphicData>
            </a:graphic>
          </wp:inline>
        </w:drawing>
      </w:r>
    </w:p>
    <w:p w14:paraId="74D1ACDB" w14:textId="2AE13BDB" w:rsidR="008220D4" w:rsidRPr="008220D4" w:rsidRDefault="008220D4" w:rsidP="008220D4">
      <w:pPr>
        <w:jc w:val="center"/>
        <w:rPr>
          <w:b/>
          <w:bCs/>
          <w:color w:val="1F3864" w:themeColor="accent1" w:themeShade="80"/>
          <w:sz w:val="28"/>
          <w:szCs w:val="28"/>
          <w:u w:val="single"/>
        </w:rPr>
      </w:pPr>
      <w:r w:rsidRPr="008220D4">
        <w:rPr>
          <w:b/>
          <w:bCs/>
          <w:color w:val="1F3864" w:themeColor="accent1" w:themeShade="80"/>
          <w:sz w:val="28"/>
          <w:szCs w:val="28"/>
          <w:u w:val="single"/>
        </w:rPr>
        <w:t>TRAINING BRIEFS CATALOGUE</w:t>
      </w:r>
    </w:p>
    <w:tbl>
      <w:tblPr>
        <w:tblStyle w:val="TableGrid"/>
        <w:tblW w:w="16285" w:type="dxa"/>
        <w:tblLook w:val="04A0" w:firstRow="1" w:lastRow="0" w:firstColumn="1" w:lastColumn="0" w:noHBand="0" w:noVBand="1"/>
      </w:tblPr>
      <w:tblGrid>
        <w:gridCol w:w="1566"/>
        <w:gridCol w:w="3212"/>
        <w:gridCol w:w="2245"/>
        <w:gridCol w:w="2161"/>
        <w:gridCol w:w="1970"/>
        <w:gridCol w:w="1091"/>
        <w:gridCol w:w="2245"/>
        <w:gridCol w:w="1795"/>
      </w:tblGrid>
      <w:tr w:rsidR="0011276F" w14:paraId="6FFF2122" w14:textId="77777777" w:rsidTr="006B3BC2">
        <w:tc>
          <w:tcPr>
            <w:tcW w:w="1538" w:type="dxa"/>
            <w:shd w:val="clear" w:color="auto" w:fill="9CC2E5" w:themeFill="accent5" w:themeFillTint="99"/>
          </w:tcPr>
          <w:p w14:paraId="49F46573" w14:textId="4645441D" w:rsidR="0011276F" w:rsidRPr="009655D0" w:rsidRDefault="008220D4">
            <w:pPr>
              <w:rPr>
                <w:b/>
                <w:bCs/>
              </w:rPr>
            </w:pPr>
            <w:r>
              <w:rPr>
                <w:b/>
                <w:bCs/>
              </w:rPr>
              <w:t>Training</w:t>
            </w:r>
          </w:p>
        </w:tc>
        <w:tc>
          <w:tcPr>
            <w:tcW w:w="3223" w:type="dxa"/>
            <w:shd w:val="clear" w:color="auto" w:fill="9CC2E5" w:themeFill="accent5" w:themeFillTint="99"/>
          </w:tcPr>
          <w:p w14:paraId="3FE4C2F2" w14:textId="44538B6F" w:rsidR="00A353A6" w:rsidRPr="009655D0" w:rsidRDefault="009655D0">
            <w:pPr>
              <w:rPr>
                <w:b/>
                <w:bCs/>
              </w:rPr>
            </w:pPr>
            <w:r w:rsidRPr="009655D0">
              <w:rPr>
                <w:b/>
                <w:bCs/>
              </w:rPr>
              <w:t>Background</w:t>
            </w:r>
          </w:p>
        </w:tc>
        <w:tc>
          <w:tcPr>
            <w:tcW w:w="2249" w:type="dxa"/>
            <w:shd w:val="clear" w:color="auto" w:fill="9CC2E5" w:themeFill="accent5" w:themeFillTint="99"/>
          </w:tcPr>
          <w:p w14:paraId="46179368" w14:textId="4E8F06FF" w:rsidR="00A353A6" w:rsidRPr="009655D0" w:rsidRDefault="009655D0">
            <w:pPr>
              <w:rPr>
                <w:b/>
                <w:bCs/>
              </w:rPr>
            </w:pPr>
            <w:r w:rsidRPr="009655D0">
              <w:rPr>
                <w:b/>
                <w:bCs/>
              </w:rPr>
              <w:t>Objectives</w:t>
            </w:r>
          </w:p>
        </w:tc>
        <w:tc>
          <w:tcPr>
            <w:tcW w:w="2165" w:type="dxa"/>
            <w:shd w:val="clear" w:color="auto" w:fill="9CC2E5" w:themeFill="accent5" w:themeFillTint="99"/>
          </w:tcPr>
          <w:p w14:paraId="117EE04A" w14:textId="24685ED5" w:rsidR="00A353A6" w:rsidRPr="009655D0" w:rsidRDefault="009655D0">
            <w:pPr>
              <w:rPr>
                <w:b/>
                <w:bCs/>
              </w:rPr>
            </w:pPr>
            <w:r w:rsidRPr="009655D0">
              <w:rPr>
                <w:b/>
                <w:bCs/>
              </w:rPr>
              <w:t>Key Topics</w:t>
            </w:r>
          </w:p>
        </w:tc>
        <w:tc>
          <w:tcPr>
            <w:tcW w:w="1972" w:type="dxa"/>
            <w:shd w:val="clear" w:color="auto" w:fill="9CC2E5" w:themeFill="accent5" w:themeFillTint="99"/>
          </w:tcPr>
          <w:p w14:paraId="4B6F32C0" w14:textId="3DE25647" w:rsidR="00A353A6" w:rsidRPr="009655D0" w:rsidRDefault="009655D0">
            <w:pPr>
              <w:rPr>
                <w:b/>
                <w:bCs/>
              </w:rPr>
            </w:pPr>
            <w:r w:rsidRPr="009655D0">
              <w:rPr>
                <w:b/>
                <w:bCs/>
              </w:rPr>
              <w:t>Target Participants</w:t>
            </w:r>
          </w:p>
        </w:tc>
        <w:tc>
          <w:tcPr>
            <w:tcW w:w="1091" w:type="dxa"/>
            <w:shd w:val="clear" w:color="auto" w:fill="9CC2E5" w:themeFill="accent5" w:themeFillTint="99"/>
          </w:tcPr>
          <w:p w14:paraId="03FACE9D" w14:textId="348CFCA1" w:rsidR="00A353A6" w:rsidRPr="009655D0" w:rsidRDefault="009655D0">
            <w:pPr>
              <w:rPr>
                <w:b/>
                <w:bCs/>
              </w:rPr>
            </w:pPr>
            <w:r w:rsidRPr="009655D0">
              <w:rPr>
                <w:b/>
                <w:bCs/>
              </w:rPr>
              <w:t>Duration</w:t>
            </w:r>
          </w:p>
        </w:tc>
        <w:tc>
          <w:tcPr>
            <w:tcW w:w="2249" w:type="dxa"/>
            <w:shd w:val="clear" w:color="auto" w:fill="9CC2E5" w:themeFill="accent5" w:themeFillTint="99"/>
          </w:tcPr>
          <w:p w14:paraId="47D50EDD" w14:textId="00A28A21" w:rsidR="00A353A6" w:rsidRPr="009655D0" w:rsidRDefault="009655D0">
            <w:pPr>
              <w:rPr>
                <w:b/>
                <w:bCs/>
              </w:rPr>
            </w:pPr>
            <w:r w:rsidRPr="009655D0">
              <w:rPr>
                <w:b/>
                <w:bCs/>
              </w:rPr>
              <w:t>Expected Outcomes</w:t>
            </w:r>
          </w:p>
        </w:tc>
        <w:tc>
          <w:tcPr>
            <w:tcW w:w="1798" w:type="dxa"/>
            <w:shd w:val="clear" w:color="auto" w:fill="9CC2E5" w:themeFill="accent5" w:themeFillTint="99"/>
          </w:tcPr>
          <w:p w14:paraId="53A8061B" w14:textId="4E88A830" w:rsidR="00A353A6" w:rsidRPr="009655D0" w:rsidRDefault="009655D0">
            <w:pPr>
              <w:rPr>
                <w:b/>
                <w:bCs/>
              </w:rPr>
            </w:pPr>
            <w:r w:rsidRPr="009655D0">
              <w:rPr>
                <w:b/>
                <w:bCs/>
              </w:rPr>
              <w:t>Date</w:t>
            </w:r>
            <w:r w:rsidR="000B2583">
              <w:rPr>
                <w:b/>
                <w:bCs/>
              </w:rPr>
              <w:t>s</w:t>
            </w:r>
          </w:p>
        </w:tc>
      </w:tr>
      <w:tr w:rsidR="006B3BC2" w14:paraId="28A85BE5" w14:textId="77777777" w:rsidTr="006B3BC2">
        <w:tc>
          <w:tcPr>
            <w:tcW w:w="1538" w:type="dxa"/>
            <w:shd w:val="clear" w:color="auto" w:fill="FFFFFF" w:themeFill="background1"/>
          </w:tcPr>
          <w:p w14:paraId="29A701B3" w14:textId="564C7C6A" w:rsidR="00A353A6" w:rsidRPr="006B3BC2" w:rsidRDefault="006857D6">
            <w:pPr>
              <w:rPr>
                <w:b/>
                <w:bCs/>
              </w:rPr>
            </w:pPr>
            <w:r w:rsidRPr="006B3BC2">
              <w:rPr>
                <w:b/>
                <w:bCs/>
              </w:rPr>
              <w:t>Strategic Resource Mobilization &amp; Fundraising for County Governments</w:t>
            </w:r>
          </w:p>
        </w:tc>
        <w:tc>
          <w:tcPr>
            <w:tcW w:w="3223" w:type="dxa"/>
          </w:tcPr>
          <w:p w14:paraId="06F8FCAF" w14:textId="4A2F810F" w:rsidR="00A353A6" w:rsidRDefault="006857D6">
            <w:r w:rsidRPr="006857D6">
              <w:t>County governments face increasing development demands with limited budget allocations. Strategic resource mobili</w:t>
            </w:r>
            <w:r>
              <w:t>z</w:t>
            </w:r>
            <w:r w:rsidRPr="006857D6">
              <w:t>ation enables counties to diversify funding through partnerships, grants, private sector collaboration and innovative financing.</w:t>
            </w:r>
          </w:p>
        </w:tc>
        <w:tc>
          <w:tcPr>
            <w:tcW w:w="2249" w:type="dxa"/>
          </w:tcPr>
          <w:p w14:paraId="19027216" w14:textId="4208B4AD" w:rsidR="00A353A6" w:rsidRDefault="006857D6">
            <w:r w:rsidRPr="006857D6">
              <w:t>Strengthen county capacity to mobili</w:t>
            </w:r>
            <w:r>
              <w:t>z</w:t>
            </w:r>
            <w:r w:rsidRPr="006857D6">
              <w:t>e resources; Identify funding opportunities; Develop bankable projects; Strengthen partnerships.</w:t>
            </w:r>
          </w:p>
        </w:tc>
        <w:tc>
          <w:tcPr>
            <w:tcW w:w="2165" w:type="dxa"/>
          </w:tcPr>
          <w:p w14:paraId="0DDF656D" w14:textId="69D9EDD0" w:rsidR="00A353A6" w:rsidRDefault="006857D6">
            <w:r w:rsidRPr="006857D6">
              <w:t>Resource mobili</w:t>
            </w:r>
            <w:r>
              <w:t>z</w:t>
            </w:r>
            <w:r w:rsidRPr="006857D6">
              <w:t>ation concepts; Donor mapping; Public–Private Partnerships; Proposal writing; Stakeholder engagement.</w:t>
            </w:r>
          </w:p>
        </w:tc>
        <w:tc>
          <w:tcPr>
            <w:tcW w:w="1972" w:type="dxa"/>
          </w:tcPr>
          <w:p w14:paraId="4E42B940" w14:textId="34EDACB8" w:rsidR="00A353A6" w:rsidRDefault="006857D6">
            <w:r w:rsidRPr="006857D6">
              <w:t>County executives, chief officers, planning and finance officers, partnership units.</w:t>
            </w:r>
          </w:p>
        </w:tc>
        <w:tc>
          <w:tcPr>
            <w:tcW w:w="1091" w:type="dxa"/>
          </w:tcPr>
          <w:p w14:paraId="70C99DFE" w14:textId="72471EB1" w:rsidR="00A353A6" w:rsidRPr="00647C7B" w:rsidRDefault="006857D6">
            <w:pPr>
              <w:rPr>
                <w:b/>
                <w:bCs/>
              </w:rPr>
            </w:pPr>
            <w:r w:rsidRPr="00647C7B">
              <w:rPr>
                <w:b/>
                <w:bCs/>
              </w:rPr>
              <w:t>3 days</w:t>
            </w:r>
          </w:p>
        </w:tc>
        <w:tc>
          <w:tcPr>
            <w:tcW w:w="2249" w:type="dxa"/>
          </w:tcPr>
          <w:p w14:paraId="01BF2000" w14:textId="52967362" w:rsidR="00A353A6" w:rsidRDefault="006857D6">
            <w:r w:rsidRPr="006857D6">
              <w:t>Donor mapping frameworks; Identification of funding opportunities; Development of project concept notes.</w:t>
            </w:r>
          </w:p>
        </w:tc>
        <w:tc>
          <w:tcPr>
            <w:tcW w:w="1798" w:type="dxa"/>
          </w:tcPr>
          <w:p w14:paraId="1C3B43E5" w14:textId="2CAB9BE7" w:rsidR="00A353A6" w:rsidRPr="00647C7B" w:rsidRDefault="000B2583">
            <w:pPr>
              <w:rPr>
                <w:b/>
                <w:bCs/>
              </w:rPr>
            </w:pPr>
            <w:r w:rsidRPr="00647C7B">
              <w:rPr>
                <w:b/>
                <w:bCs/>
              </w:rPr>
              <w:t>28th April – 30th April 2026</w:t>
            </w:r>
          </w:p>
        </w:tc>
      </w:tr>
      <w:tr w:rsidR="006B3BC2" w14:paraId="65549888" w14:textId="77777777" w:rsidTr="006B3BC2">
        <w:tc>
          <w:tcPr>
            <w:tcW w:w="1538" w:type="dxa"/>
            <w:shd w:val="clear" w:color="auto" w:fill="FFFFFF" w:themeFill="background1"/>
          </w:tcPr>
          <w:p w14:paraId="5DDA3768" w14:textId="3B323B77" w:rsidR="00A353A6" w:rsidRPr="006B3BC2" w:rsidRDefault="006857D6">
            <w:pPr>
              <w:rPr>
                <w:b/>
                <w:bCs/>
              </w:rPr>
            </w:pPr>
            <w:r w:rsidRPr="006B3BC2">
              <w:rPr>
                <w:b/>
                <w:bCs/>
              </w:rPr>
              <w:t>Strategic Resource Mobilization &amp; Fundraising for Universities</w:t>
            </w:r>
          </w:p>
        </w:tc>
        <w:tc>
          <w:tcPr>
            <w:tcW w:w="3223" w:type="dxa"/>
          </w:tcPr>
          <w:p w14:paraId="178C7B1B" w14:textId="7B2CB9BD" w:rsidR="00A353A6" w:rsidRDefault="000B2583">
            <w:r w:rsidRPr="000B2583">
              <w:t>Universities must diversify funding sources due to increasing financial pressures and growing demand for research, innovation and infrastructure</w:t>
            </w:r>
            <w:r>
              <w:t xml:space="preserve"> </w:t>
            </w:r>
            <w:r w:rsidRPr="000B2583">
              <w:t>development.</w:t>
            </w:r>
          </w:p>
        </w:tc>
        <w:tc>
          <w:tcPr>
            <w:tcW w:w="2249" w:type="dxa"/>
          </w:tcPr>
          <w:p w14:paraId="035B8AFC" w14:textId="3BF235CE" w:rsidR="00A353A6" w:rsidRDefault="000B2583">
            <w:r w:rsidRPr="000B2583">
              <w:t>Strengthen university fundraising capacity; Identify research funding; Build partnerships; Improve proposal development.</w:t>
            </w:r>
          </w:p>
        </w:tc>
        <w:tc>
          <w:tcPr>
            <w:tcW w:w="2165" w:type="dxa"/>
          </w:tcPr>
          <w:p w14:paraId="69EFA6A8" w14:textId="6C83E5B9" w:rsidR="00A353A6" w:rsidRDefault="000B2583">
            <w:r w:rsidRPr="000B2583">
              <w:t>University fundraising strategies; Research funding opportunities; Alumni fundraising; Corporate partnerships; Endowment funds.</w:t>
            </w:r>
          </w:p>
        </w:tc>
        <w:tc>
          <w:tcPr>
            <w:tcW w:w="1972" w:type="dxa"/>
          </w:tcPr>
          <w:p w14:paraId="29D97551" w14:textId="4B267E72" w:rsidR="00A353A6" w:rsidRDefault="000B2583">
            <w:r w:rsidRPr="000B2583">
              <w:t>University leadership, research offices, development offices, finance and planning units.</w:t>
            </w:r>
          </w:p>
        </w:tc>
        <w:tc>
          <w:tcPr>
            <w:tcW w:w="1091" w:type="dxa"/>
          </w:tcPr>
          <w:p w14:paraId="167668B0" w14:textId="5FF9271F" w:rsidR="00A353A6" w:rsidRPr="00647C7B" w:rsidRDefault="009149D8">
            <w:pPr>
              <w:rPr>
                <w:b/>
                <w:bCs/>
              </w:rPr>
            </w:pPr>
            <w:r>
              <w:rPr>
                <w:b/>
                <w:bCs/>
              </w:rPr>
              <w:t>4</w:t>
            </w:r>
            <w:r w:rsidR="000B2583" w:rsidRPr="00647C7B">
              <w:rPr>
                <w:b/>
                <w:bCs/>
              </w:rPr>
              <w:t xml:space="preserve"> days</w:t>
            </w:r>
          </w:p>
        </w:tc>
        <w:tc>
          <w:tcPr>
            <w:tcW w:w="2249" w:type="dxa"/>
          </w:tcPr>
          <w:p w14:paraId="579AED9F" w14:textId="78FD583E" w:rsidR="00A353A6" w:rsidRDefault="000B2583">
            <w:r w:rsidRPr="000B2583">
              <w:t>Improved grant acquisition capacity; Donor engagement strategies; Institutional fundraising plans.</w:t>
            </w:r>
          </w:p>
        </w:tc>
        <w:tc>
          <w:tcPr>
            <w:tcW w:w="1798" w:type="dxa"/>
          </w:tcPr>
          <w:p w14:paraId="6D9AC3C0" w14:textId="3DD56ADC" w:rsidR="00A353A6" w:rsidRPr="00647C7B" w:rsidRDefault="000B2583">
            <w:pPr>
              <w:rPr>
                <w:b/>
                <w:bCs/>
              </w:rPr>
            </w:pPr>
            <w:r w:rsidRPr="00647C7B">
              <w:rPr>
                <w:b/>
                <w:bCs/>
              </w:rPr>
              <w:t>25th – 2</w:t>
            </w:r>
            <w:r w:rsidR="002379DA">
              <w:rPr>
                <w:b/>
                <w:bCs/>
              </w:rPr>
              <w:t>8</w:t>
            </w:r>
            <w:r w:rsidRPr="00647C7B">
              <w:rPr>
                <w:b/>
                <w:bCs/>
              </w:rPr>
              <w:t xml:space="preserve">th </w:t>
            </w:r>
            <w:r w:rsidR="00AD0AAA" w:rsidRPr="00647C7B">
              <w:rPr>
                <w:b/>
                <w:bCs/>
              </w:rPr>
              <w:t>May</w:t>
            </w:r>
            <w:r w:rsidRPr="00647C7B">
              <w:rPr>
                <w:b/>
                <w:bCs/>
              </w:rPr>
              <w:t xml:space="preserve"> 2026</w:t>
            </w:r>
          </w:p>
        </w:tc>
      </w:tr>
      <w:tr w:rsidR="006B3BC2" w14:paraId="6EE1C6C2" w14:textId="77777777" w:rsidTr="006B3BC2">
        <w:tc>
          <w:tcPr>
            <w:tcW w:w="1538" w:type="dxa"/>
            <w:shd w:val="clear" w:color="auto" w:fill="FFFFFF" w:themeFill="background1"/>
          </w:tcPr>
          <w:p w14:paraId="796C75F1" w14:textId="18DDDF27" w:rsidR="00A353A6" w:rsidRPr="006B3BC2" w:rsidRDefault="000B2583">
            <w:pPr>
              <w:rPr>
                <w:b/>
                <w:bCs/>
              </w:rPr>
            </w:pPr>
            <w:r w:rsidRPr="006B3BC2">
              <w:rPr>
                <w:b/>
                <w:bCs/>
              </w:rPr>
              <w:t>Project Development and Writing Winning Proposals</w:t>
            </w:r>
          </w:p>
        </w:tc>
        <w:tc>
          <w:tcPr>
            <w:tcW w:w="3223" w:type="dxa"/>
          </w:tcPr>
          <w:p w14:paraId="50F584E7" w14:textId="44B200D9" w:rsidR="00A353A6" w:rsidRDefault="0011276F">
            <w:r w:rsidRPr="0011276F">
              <w:t>Many organi</w:t>
            </w:r>
            <w:r>
              <w:t>z</w:t>
            </w:r>
            <w:r w:rsidRPr="0011276F">
              <w:t>ations fail to secure funding due to weak project design and proposal writing. Strengthening these skills increases funding success.</w:t>
            </w:r>
          </w:p>
        </w:tc>
        <w:tc>
          <w:tcPr>
            <w:tcW w:w="2249" w:type="dxa"/>
          </w:tcPr>
          <w:p w14:paraId="75F8708D" w14:textId="71A265A1" w:rsidR="00A353A6" w:rsidRDefault="0011276F">
            <w:r w:rsidRPr="0011276F">
              <w:t>Strengthen project design; Improve proposal writing; Develop realistic budgets; Align proposals with donor priorities.</w:t>
            </w:r>
          </w:p>
        </w:tc>
        <w:tc>
          <w:tcPr>
            <w:tcW w:w="2165" w:type="dxa"/>
          </w:tcPr>
          <w:p w14:paraId="5702BADF" w14:textId="0307647E" w:rsidR="00A353A6" w:rsidRDefault="0011276F">
            <w:r w:rsidRPr="0011276F">
              <w:t>Project identification; Logical frameworks; Proposal structure; Budget development; Monitoring and evaluation.</w:t>
            </w:r>
          </w:p>
        </w:tc>
        <w:tc>
          <w:tcPr>
            <w:tcW w:w="1972" w:type="dxa"/>
          </w:tcPr>
          <w:p w14:paraId="1EC7DB59" w14:textId="7E1808C9" w:rsidR="00A353A6" w:rsidRDefault="0011276F">
            <w:r w:rsidRPr="0011276F">
              <w:t>NGOs, government officers, development practitioners, project managers, researchers.</w:t>
            </w:r>
          </w:p>
        </w:tc>
        <w:tc>
          <w:tcPr>
            <w:tcW w:w="1091" w:type="dxa"/>
          </w:tcPr>
          <w:p w14:paraId="7436B31B" w14:textId="6F0713A1" w:rsidR="00A353A6" w:rsidRPr="00647C7B" w:rsidRDefault="0011276F">
            <w:pPr>
              <w:rPr>
                <w:b/>
                <w:bCs/>
              </w:rPr>
            </w:pPr>
            <w:r w:rsidRPr="00647C7B">
              <w:rPr>
                <w:b/>
                <w:bCs/>
              </w:rPr>
              <w:t>5 days</w:t>
            </w:r>
          </w:p>
        </w:tc>
        <w:tc>
          <w:tcPr>
            <w:tcW w:w="2249" w:type="dxa"/>
          </w:tcPr>
          <w:p w14:paraId="7182017A" w14:textId="2F0C23E6" w:rsidR="00A353A6" w:rsidRDefault="0011276F">
            <w:r w:rsidRPr="0011276F">
              <w:t>Strong project concepts; Competitive proposals; Effective project budgets.</w:t>
            </w:r>
          </w:p>
        </w:tc>
        <w:tc>
          <w:tcPr>
            <w:tcW w:w="1798" w:type="dxa"/>
          </w:tcPr>
          <w:p w14:paraId="237F8A1A" w14:textId="7C40E280" w:rsidR="00A353A6" w:rsidRPr="00647C7B" w:rsidRDefault="001D49C6">
            <w:pPr>
              <w:rPr>
                <w:b/>
                <w:bCs/>
              </w:rPr>
            </w:pPr>
            <w:r w:rsidRPr="00647C7B">
              <w:rPr>
                <w:b/>
                <w:bCs/>
              </w:rPr>
              <w:t>26</w:t>
            </w:r>
            <w:r w:rsidRPr="00647C7B">
              <w:rPr>
                <w:b/>
                <w:bCs/>
                <w:vertAlign w:val="superscript"/>
              </w:rPr>
              <w:t>th</w:t>
            </w:r>
            <w:r w:rsidRPr="00647C7B">
              <w:rPr>
                <w:b/>
                <w:bCs/>
              </w:rPr>
              <w:t xml:space="preserve"> – 30</w:t>
            </w:r>
            <w:r w:rsidRPr="00647C7B">
              <w:rPr>
                <w:b/>
                <w:bCs/>
                <w:vertAlign w:val="superscript"/>
              </w:rPr>
              <w:t>th</w:t>
            </w:r>
            <w:r w:rsidRPr="00647C7B">
              <w:rPr>
                <w:b/>
                <w:bCs/>
              </w:rPr>
              <w:t xml:space="preserve"> July </w:t>
            </w:r>
          </w:p>
        </w:tc>
      </w:tr>
      <w:tr w:rsidR="006B3BC2" w14:paraId="2E6556EB" w14:textId="77777777" w:rsidTr="006B3BC2">
        <w:tc>
          <w:tcPr>
            <w:tcW w:w="1538" w:type="dxa"/>
            <w:shd w:val="clear" w:color="auto" w:fill="FFFFFF" w:themeFill="background1"/>
          </w:tcPr>
          <w:p w14:paraId="6692ECF8" w14:textId="20BA503B" w:rsidR="00A353A6" w:rsidRPr="006B3BC2" w:rsidRDefault="00AD0AAA">
            <w:pPr>
              <w:rPr>
                <w:b/>
                <w:bCs/>
              </w:rPr>
            </w:pPr>
            <w:r w:rsidRPr="006B3BC2">
              <w:rPr>
                <w:b/>
                <w:bCs/>
              </w:rPr>
              <w:lastRenderedPageBreak/>
              <w:t>Climate Financing</w:t>
            </w:r>
          </w:p>
        </w:tc>
        <w:tc>
          <w:tcPr>
            <w:tcW w:w="3223" w:type="dxa"/>
          </w:tcPr>
          <w:p w14:paraId="2D99E6E6" w14:textId="2AEBA8AC" w:rsidR="00A353A6" w:rsidRDefault="00AD0AAA">
            <w:r w:rsidRPr="00AD0AAA">
              <w:t>Climate change requires large investments in mitigation and adaptation. Institutions must strengthen their ability to access global climate funds.</w:t>
            </w:r>
          </w:p>
        </w:tc>
        <w:tc>
          <w:tcPr>
            <w:tcW w:w="2249" w:type="dxa"/>
          </w:tcPr>
          <w:p w14:paraId="043BC240" w14:textId="689A0AE9" w:rsidR="00A353A6" w:rsidRDefault="00AD0AAA">
            <w:r w:rsidRPr="00AD0AAA">
              <w:t>Understand climate finance; Identify climate funding opportunities; Develop climate finance proposals.</w:t>
            </w:r>
          </w:p>
        </w:tc>
        <w:tc>
          <w:tcPr>
            <w:tcW w:w="2165" w:type="dxa"/>
          </w:tcPr>
          <w:p w14:paraId="0397C9AD" w14:textId="67D7067B" w:rsidR="00A353A6" w:rsidRDefault="00AD0AAA">
            <w:r w:rsidRPr="00AD0AAA">
              <w:t>Climate finance architecture; Global climate funds; Climate project development; Proposal writing for climate funding.</w:t>
            </w:r>
          </w:p>
        </w:tc>
        <w:tc>
          <w:tcPr>
            <w:tcW w:w="1972" w:type="dxa"/>
          </w:tcPr>
          <w:p w14:paraId="71209CB4" w14:textId="4F9F77CA" w:rsidR="00A353A6" w:rsidRDefault="00AD0AAA">
            <w:r w:rsidRPr="00AD0AAA">
              <w:t>Government agencies, NGOs, environmental institutions, county governments.</w:t>
            </w:r>
          </w:p>
        </w:tc>
        <w:tc>
          <w:tcPr>
            <w:tcW w:w="1091" w:type="dxa"/>
          </w:tcPr>
          <w:p w14:paraId="0B28A1B3" w14:textId="1A025BA5" w:rsidR="00A353A6" w:rsidRPr="00647C7B" w:rsidRDefault="00AD0AAA">
            <w:pPr>
              <w:rPr>
                <w:b/>
                <w:bCs/>
              </w:rPr>
            </w:pPr>
            <w:r w:rsidRPr="00647C7B">
              <w:rPr>
                <w:b/>
                <w:bCs/>
              </w:rPr>
              <w:t>5 days</w:t>
            </w:r>
          </w:p>
        </w:tc>
        <w:tc>
          <w:tcPr>
            <w:tcW w:w="2249" w:type="dxa"/>
          </w:tcPr>
          <w:p w14:paraId="30D010B1" w14:textId="666F1028" w:rsidR="00A353A6" w:rsidRDefault="00AD0AAA">
            <w:r w:rsidRPr="00AD0AAA">
              <w:t>Climate funding opportunities identified; Climate project concepts developed.</w:t>
            </w:r>
          </w:p>
        </w:tc>
        <w:tc>
          <w:tcPr>
            <w:tcW w:w="1798" w:type="dxa"/>
          </w:tcPr>
          <w:p w14:paraId="391D26C6" w14:textId="04FB7659" w:rsidR="00A353A6" w:rsidRPr="00647C7B" w:rsidRDefault="00AD0AAA">
            <w:pPr>
              <w:rPr>
                <w:b/>
                <w:bCs/>
              </w:rPr>
            </w:pPr>
            <w:r w:rsidRPr="00647C7B">
              <w:rPr>
                <w:b/>
                <w:bCs/>
              </w:rPr>
              <w:t>22</w:t>
            </w:r>
            <w:r w:rsidRPr="00647C7B">
              <w:rPr>
                <w:b/>
                <w:bCs/>
                <w:vertAlign w:val="superscript"/>
              </w:rPr>
              <w:t>nd</w:t>
            </w:r>
            <w:r w:rsidRPr="00647C7B">
              <w:rPr>
                <w:b/>
                <w:bCs/>
              </w:rPr>
              <w:t xml:space="preserve"> – 26</w:t>
            </w:r>
            <w:r w:rsidRPr="00647C7B">
              <w:rPr>
                <w:b/>
                <w:bCs/>
                <w:vertAlign w:val="superscript"/>
              </w:rPr>
              <w:t>th</w:t>
            </w:r>
            <w:r w:rsidRPr="00647C7B">
              <w:rPr>
                <w:b/>
                <w:bCs/>
              </w:rPr>
              <w:t xml:space="preserve"> June 2026</w:t>
            </w:r>
          </w:p>
        </w:tc>
      </w:tr>
      <w:tr w:rsidR="006B3BC2" w14:paraId="255B0361" w14:textId="77777777" w:rsidTr="006B3BC2">
        <w:tc>
          <w:tcPr>
            <w:tcW w:w="1538" w:type="dxa"/>
            <w:shd w:val="clear" w:color="auto" w:fill="FFFFFF" w:themeFill="background1"/>
          </w:tcPr>
          <w:p w14:paraId="00C438D0" w14:textId="51D4A038" w:rsidR="00A353A6" w:rsidRPr="006B3BC2" w:rsidRDefault="00CA3C9C">
            <w:pPr>
              <w:rPr>
                <w:b/>
                <w:bCs/>
              </w:rPr>
            </w:pPr>
            <w:r w:rsidRPr="00CA3C9C">
              <w:rPr>
                <w:b/>
                <w:bCs/>
              </w:rPr>
              <w:t>East African Conference for Resource Mobilization</w:t>
            </w:r>
          </w:p>
        </w:tc>
        <w:tc>
          <w:tcPr>
            <w:tcW w:w="3223" w:type="dxa"/>
          </w:tcPr>
          <w:p w14:paraId="02C422F6" w14:textId="22A67A41" w:rsidR="00A353A6" w:rsidRDefault="00014BC9">
            <w:r w:rsidRPr="00014BC9">
              <w:t>A regional platform bringing together institutions from East Africa to discuss sustainable fundraising approaches in response to declining traditional donor funding and increasing competition for resources. The conference promotes knowledge sharing, collaboration, and innovative solutions for strengthening resource mobilization across institutions.</w:t>
            </w:r>
          </w:p>
        </w:tc>
        <w:tc>
          <w:tcPr>
            <w:tcW w:w="2249" w:type="dxa"/>
          </w:tcPr>
          <w:p w14:paraId="397DEEF7" w14:textId="39A02582" w:rsidR="00A353A6" w:rsidRDefault="00014BC9">
            <w:r>
              <w:t>Providing</w:t>
            </w:r>
            <w:r w:rsidRPr="00014BC9">
              <w:t xml:space="preserve"> knowledge and best practices in fundraising; strengthen institutional capacity for sustainable financing; promote partnerships across sectors; inspire innovative fundraising approaches; build a regional network of professionals.</w:t>
            </w:r>
          </w:p>
        </w:tc>
        <w:tc>
          <w:tcPr>
            <w:tcW w:w="2165" w:type="dxa"/>
          </w:tcPr>
          <w:p w14:paraId="2F455687" w14:textId="140CC429" w:rsidR="00A353A6" w:rsidRDefault="00014BC9">
            <w:r w:rsidRPr="00014BC9">
              <w:t>Fundraising trends and opportunities in Africa; domestic resource mobilization and African philanthropy; strategic partnerships; governance and institutional readiness; innovation, technology, and digital fundraising; sustainable financing models.</w:t>
            </w:r>
          </w:p>
        </w:tc>
        <w:tc>
          <w:tcPr>
            <w:tcW w:w="1972" w:type="dxa"/>
          </w:tcPr>
          <w:p w14:paraId="12154DA4" w14:textId="7D346071" w:rsidR="00A353A6" w:rsidRDefault="00014BC9">
            <w:r w:rsidRPr="00014BC9">
              <w:t>Government officials and policymakers; public institutions; NGOs and civil society organizations; donor agencies and development partners; corporate foundations and CSR leaders; academic and research institutions</w:t>
            </w:r>
            <w:r>
              <w:t>.</w:t>
            </w:r>
          </w:p>
        </w:tc>
        <w:tc>
          <w:tcPr>
            <w:tcW w:w="1091" w:type="dxa"/>
          </w:tcPr>
          <w:p w14:paraId="565042D3" w14:textId="53CC6118" w:rsidR="00A353A6" w:rsidRPr="00647C7B" w:rsidRDefault="006173E0">
            <w:pPr>
              <w:rPr>
                <w:b/>
                <w:bCs/>
              </w:rPr>
            </w:pPr>
            <w:r w:rsidRPr="00647C7B">
              <w:rPr>
                <w:b/>
                <w:bCs/>
              </w:rPr>
              <w:t>4 days</w:t>
            </w:r>
          </w:p>
        </w:tc>
        <w:tc>
          <w:tcPr>
            <w:tcW w:w="2249" w:type="dxa"/>
          </w:tcPr>
          <w:p w14:paraId="602085F9" w14:textId="4ED0D250" w:rsidR="00A353A6" w:rsidRDefault="00014BC9">
            <w:r w:rsidRPr="00014BC9">
              <w:t>Enhanced fundraising knowledge and skills; stronger collaboration among development actors; a wider regional network of practitioners; shared case studies and best practices; stronger basis for future capacity building partnerships.</w:t>
            </w:r>
          </w:p>
        </w:tc>
        <w:tc>
          <w:tcPr>
            <w:tcW w:w="1798" w:type="dxa"/>
          </w:tcPr>
          <w:p w14:paraId="5AC07BD2" w14:textId="3CE2EBAB" w:rsidR="00A353A6" w:rsidRPr="00647C7B" w:rsidRDefault="006173E0">
            <w:pPr>
              <w:rPr>
                <w:b/>
                <w:bCs/>
              </w:rPr>
            </w:pPr>
            <w:r w:rsidRPr="00647C7B">
              <w:rPr>
                <w:b/>
                <w:bCs/>
              </w:rPr>
              <w:t>15</w:t>
            </w:r>
            <w:r w:rsidRPr="00647C7B">
              <w:rPr>
                <w:b/>
                <w:bCs/>
                <w:vertAlign w:val="superscript"/>
              </w:rPr>
              <w:t>th</w:t>
            </w:r>
            <w:r w:rsidRPr="00647C7B">
              <w:rPr>
                <w:b/>
                <w:bCs/>
              </w:rPr>
              <w:t xml:space="preserve"> – 18</w:t>
            </w:r>
            <w:r w:rsidRPr="00647C7B">
              <w:rPr>
                <w:b/>
                <w:bCs/>
                <w:vertAlign w:val="superscript"/>
              </w:rPr>
              <w:t>th</w:t>
            </w:r>
            <w:r w:rsidRPr="00647C7B">
              <w:rPr>
                <w:b/>
                <w:bCs/>
              </w:rPr>
              <w:t xml:space="preserve"> September 2026</w:t>
            </w:r>
          </w:p>
        </w:tc>
      </w:tr>
    </w:tbl>
    <w:p w14:paraId="12D71147" w14:textId="77777777" w:rsidR="00BD70BB" w:rsidRDefault="00BD70BB"/>
    <w:sectPr w:rsidR="00BD70BB" w:rsidSect="006173E0">
      <w:type w:val="continuous"/>
      <w:pgSz w:w="16838" w:h="11906" w:orient="landscape" w:code="9"/>
      <w:pgMar w:top="288" w:right="432" w:bottom="288" w:left="288" w:header="720" w:footer="720" w:gutter="0"/>
      <w:pgNumType w:start="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A6"/>
    <w:rsid w:val="00014BC9"/>
    <w:rsid w:val="000364FB"/>
    <w:rsid w:val="000B2583"/>
    <w:rsid w:val="0011276F"/>
    <w:rsid w:val="00122BDF"/>
    <w:rsid w:val="001D49C6"/>
    <w:rsid w:val="002377E6"/>
    <w:rsid w:val="002379DA"/>
    <w:rsid w:val="004528C6"/>
    <w:rsid w:val="004D2D6A"/>
    <w:rsid w:val="006173E0"/>
    <w:rsid w:val="00647C7B"/>
    <w:rsid w:val="006857D6"/>
    <w:rsid w:val="006B3BC2"/>
    <w:rsid w:val="008220D4"/>
    <w:rsid w:val="008B739A"/>
    <w:rsid w:val="009149D8"/>
    <w:rsid w:val="009655D0"/>
    <w:rsid w:val="009839D2"/>
    <w:rsid w:val="00A353A6"/>
    <w:rsid w:val="00AD0AAA"/>
    <w:rsid w:val="00BD70BB"/>
    <w:rsid w:val="00CA3C9C"/>
    <w:rsid w:val="00F33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A311"/>
  <w15:chartTrackingRefBased/>
  <w15:docId w15:val="{DE90F6D4-20CC-475D-95C6-DCD0CD26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3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53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53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53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53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53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3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3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3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3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53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53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53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53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5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3A6"/>
    <w:rPr>
      <w:rFonts w:eastAsiaTheme="majorEastAsia" w:cstheme="majorBidi"/>
      <w:color w:val="272727" w:themeColor="text1" w:themeTint="D8"/>
    </w:rPr>
  </w:style>
  <w:style w:type="paragraph" w:styleId="Title">
    <w:name w:val="Title"/>
    <w:basedOn w:val="Normal"/>
    <w:next w:val="Normal"/>
    <w:link w:val="TitleChar"/>
    <w:uiPriority w:val="10"/>
    <w:qFormat/>
    <w:rsid w:val="00A35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3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3A6"/>
    <w:pPr>
      <w:spacing w:before="160"/>
      <w:jc w:val="center"/>
    </w:pPr>
    <w:rPr>
      <w:i/>
      <w:iCs/>
      <w:color w:val="404040" w:themeColor="text1" w:themeTint="BF"/>
    </w:rPr>
  </w:style>
  <w:style w:type="character" w:customStyle="1" w:styleId="QuoteChar">
    <w:name w:val="Quote Char"/>
    <w:basedOn w:val="DefaultParagraphFont"/>
    <w:link w:val="Quote"/>
    <w:uiPriority w:val="29"/>
    <w:rsid w:val="00A353A6"/>
    <w:rPr>
      <w:i/>
      <w:iCs/>
      <w:color w:val="404040" w:themeColor="text1" w:themeTint="BF"/>
    </w:rPr>
  </w:style>
  <w:style w:type="paragraph" w:styleId="ListParagraph">
    <w:name w:val="List Paragraph"/>
    <w:basedOn w:val="Normal"/>
    <w:uiPriority w:val="34"/>
    <w:qFormat/>
    <w:rsid w:val="00A353A6"/>
    <w:pPr>
      <w:ind w:left="720"/>
      <w:contextualSpacing/>
    </w:pPr>
  </w:style>
  <w:style w:type="character" w:styleId="IntenseEmphasis">
    <w:name w:val="Intense Emphasis"/>
    <w:basedOn w:val="DefaultParagraphFont"/>
    <w:uiPriority w:val="21"/>
    <w:qFormat/>
    <w:rsid w:val="00A353A6"/>
    <w:rPr>
      <w:i/>
      <w:iCs/>
      <w:color w:val="2F5496" w:themeColor="accent1" w:themeShade="BF"/>
    </w:rPr>
  </w:style>
  <w:style w:type="paragraph" w:styleId="IntenseQuote">
    <w:name w:val="Intense Quote"/>
    <w:basedOn w:val="Normal"/>
    <w:next w:val="Normal"/>
    <w:link w:val="IntenseQuoteChar"/>
    <w:uiPriority w:val="30"/>
    <w:qFormat/>
    <w:rsid w:val="00A353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53A6"/>
    <w:rPr>
      <w:i/>
      <w:iCs/>
      <w:color w:val="2F5496" w:themeColor="accent1" w:themeShade="BF"/>
    </w:rPr>
  </w:style>
  <w:style w:type="character" w:styleId="IntenseReference">
    <w:name w:val="Intense Reference"/>
    <w:basedOn w:val="DefaultParagraphFont"/>
    <w:uiPriority w:val="32"/>
    <w:qFormat/>
    <w:rsid w:val="00A353A6"/>
    <w:rPr>
      <w:b/>
      <w:bCs/>
      <w:smallCaps/>
      <w:color w:val="2F5496" w:themeColor="accent1" w:themeShade="BF"/>
      <w:spacing w:val="5"/>
    </w:rPr>
  </w:style>
  <w:style w:type="table" w:styleId="TableGrid">
    <w:name w:val="Table Grid"/>
    <w:basedOn w:val="TableNormal"/>
    <w:uiPriority w:val="39"/>
    <w:rsid w:val="00A35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173E0"/>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6173E0"/>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Mwanik</dc:creator>
  <cp:keywords/>
  <dc:description/>
  <cp:lastModifiedBy>Nelly Mwanik</cp:lastModifiedBy>
  <cp:revision>10</cp:revision>
  <dcterms:created xsi:type="dcterms:W3CDTF">2026-03-05T11:44:00Z</dcterms:created>
  <dcterms:modified xsi:type="dcterms:W3CDTF">2026-03-06T10:16:00Z</dcterms:modified>
</cp:coreProperties>
</file>